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152000" cy="115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reRecord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52000" cy="115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b w:val="0"/>
          <w:i w:val="0"/>
          <w:color w:val="1A1A2E"/>
          <w:sz w:val="12"/>
        </w:rPr>
      </w:r>
    </w:p>
    <w:p>
      <w:pPr>
        <w:spacing w:after="160"/>
      </w:pPr>
      <w:r>
        <w:rPr>
          <w:b/>
          <w:i w:val="0"/>
          <w:color w:val="1E3A5F"/>
          <w:sz w:val="48"/>
        </w:rPr>
        <w:t>Residential Fire Risk Assessment Template</w:t>
      </w:r>
    </w:p>
    <w:p>
      <w:pPr>
        <w:spacing w:after="240"/>
      </w:pPr>
      <w:r>
        <w:rPr>
          <w:b w:val="0"/>
          <w:i w:val="0"/>
          <w:color w:val="64748B"/>
          <w:sz w:val="24"/>
        </w:rPr>
        <w:t>A free recording template for fire risk assessments of blocks of flats, HMOs, sheltered housing and other residential premises in England and Wales.</w:t>
      </w:r>
    </w:p>
    <w:p>
      <w:pPr>
        <w:spacing w:after="80"/>
      </w:pPr>
      <w:r>
        <w:rPr>
          <w:b w:val="0"/>
          <w:i w:val="0"/>
          <w:color w:val="64748B"/>
          <w:sz w:val="18"/>
        </w:rPr>
        <w:t>Structured to BS 9792:2025 · Regulatory Reform (Fire Safety) Order 2005</w:t>
      </w:r>
    </w:p>
    <w:p>
      <w:pPr>
        <w:spacing w:after="80"/>
      </w:pPr>
      <w:r>
        <w:rPr>
          <w:b w:val="0"/>
          <w:i/>
          <w:color w:val="64748B"/>
          <w:sz w:val="17"/>
        </w:rPr>
        <w:t>This is the editable Word version of the template. Type into the boxes and tables, and mark a choice by replacing ☐ with X. A print-ready PDF version is available from the same page.</w:t>
      </w:r>
    </w:p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1   </w:t>
            </w:r>
            <w:r>
              <w:rPr>
                <w:b/>
                <w:color w:val="FFFFFF"/>
                <w:sz w:val="26"/>
              </w:rPr>
              <w:t>Premises, responsible person and scope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rPr>
          <w:trHeight w:val="907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Building name and address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102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Description of the building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Approximate age, construction, number of storeys, number of dwellings, communal facilities</w:t>
            </w:r>
          </w:p>
        </w:tc>
        <w:tc>
          <w:tcPr>
            <w:tcW w:type="dxa" w:w="6803"/>
            <w:vAlign w:val="center"/>
          </w:tcPr>
          <w:p/>
        </w:tc>
      </w:tr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Premises type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Purpose-built block of flats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Converted flats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HMO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Sheltered or supported housing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Other:</w:t>
            </w:r>
          </w:p>
        </w:tc>
      </w:tr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Evacuation strategy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Stay put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Simultaneous evacuation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Phased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Defend in place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Type of assessment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Type of assessment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As described in BS 9792:2025 and sector guidance</w:t>
            </w:r>
          </w:p>
        </w:tc>
        <w:tc>
          <w:tcPr>
            <w:tcW w:type="dxa" w:w="6803"/>
            <w:vAlign w:val="center"/>
          </w:tcPr>
          <w:p>
            <w:pPr>
              <w:spacing w:after="2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sz w:val="18"/>
              </w:rPr>
              <w:t>Type 1 · Common parts only, non-intrusive</w:t>
            </w:r>
          </w:p>
          <w:p>
            <w:pPr>
              <w:spacing w:after="2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sz w:val="18"/>
              </w:rPr>
              <w:t>Type 2 · Common parts, intrusive</w:t>
            </w:r>
          </w:p>
          <w:p>
            <w:pPr>
              <w:spacing w:after="2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sz w:val="18"/>
              </w:rPr>
              <w:t>Type 3 · Common parts and a sample of dwellings, non-intrusive</w:t>
            </w:r>
          </w:p>
          <w:p>
            <w:pPr>
              <w:spacing w:after="2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sz w:val="18"/>
              </w:rPr>
              <w:t>Type 4 · Common parts and dwellings, intrusive</w:t>
            </w:r>
          </w:p>
        </w:tc>
      </w:tr>
      <w:tr>
        <w:trPr>
          <w:trHeight w:val="102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Areas inspected / not inspected</w:t>
            </w:r>
          </w:p>
        </w:tc>
        <w:tc>
          <w:tcPr>
            <w:tcW w:type="dxa" w:w="6803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People and dates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Responsible person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907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UK contact address of the responsible person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Managing agent (if any)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Assessor name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907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Assessor competency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Qualifications, registration, relevant experience. If self-assessing, say so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Date of this assessment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Date of previous fire risk assessment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Recommended review date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Report reference</w:t>
            </w:r>
          </w:p>
        </w:tc>
        <w:tc>
          <w:tcPr>
            <w:tcW w:type="dxa" w:w="6803"/>
            <w:vAlign w:val="center"/>
          </w:tcPr>
          <w:p/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2   </w:t>
            </w:r>
            <w:r>
              <w:rPr>
                <w:b/>
                <w:color w:val="FFFFFF"/>
                <w:sz w:val="26"/>
              </w:rPr>
              <w:t>People at risk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How many people sleep on the premises?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Maximum number of occupants at any one time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907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Non-residents regularly on site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Staff, carers, cleaners, contractors, regular visitors: who and roughly how many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Children under 18 in the building?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Note how many, and whether any are under 5</w:t>
            </w:r>
          </w:p>
        </w:tc>
        <w:tc>
          <w:tcPr>
            <w:tcW w:type="dxa" w:w="6803"/>
            <w:vAlign w:val="center"/>
          </w:tcPr>
          <w:p/>
        </w:tc>
      </w:tr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Staffing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Staffed 24 hours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Daytime only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Visiting staff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Unstaffed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Residents who may need help to evacuate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47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Flat / room</w:t>
            </w:r>
          </w:p>
        </w:tc>
        <w:tc>
          <w:tcPr>
            <w:tcW w:type="dxa" w:w="2608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Why they may need help (mobility, hearing, sight, cognition, other)</w:t>
            </w:r>
          </w:p>
        </w:tc>
        <w:tc>
          <w:tcPr>
            <w:tcW w:type="dxa" w:w="2268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Evacuation capability (unaided / with assistance / fire service assistance)</w:t>
            </w:r>
          </w:p>
        </w:tc>
        <w:tc>
          <w:tcPr>
            <w:tcW w:type="dxa" w:w="181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Person-centred plan or PEEP in place?</w:t>
            </w:r>
          </w:p>
        </w:tc>
        <w:tc>
          <w:tcPr>
            <w:tcW w:type="dxa" w:w="2041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Information available to the fire service? (e.g. secure information box)</w:t>
            </w:r>
          </w:p>
        </w:tc>
      </w:tr>
      <w:tr>
        <w:trPr>
          <w:trHeight w:val="680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2608"/>
            <w:vAlign w:val="center"/>
          </w:tcPr>
          <w:p/>
        </w:tc>
        <w:tc>
          <w:tcPr>
            <w:tcW w:type="dxa" w:w="2268"/>
            <w:vAlign w:val="center"/>
          </w:tcPr>
          <w:p/>
        </w:tc>
        <w:tc>
          <w:tcPr>
            <w:tcW w:type="dxa" w:w="1814"/>
            <w:vAlign w:val="center"/>
          </w:tcPr>
          <w:p/>
        </w:tc>
        <w:tc>
          <w:tcPr>
            <w:tcW w:type="dxa" w:w="2041"/>
            <w:vAlign w:val="center"/>
          </w:tcPr>
          <w:p/>
        </w:tc>
      </w:tr>
      <w:tr>
        <w:trPr>
          <w:trHeight w:val="680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2608"/>
            <w:vAlign w:val="center"/>
          </w:tcPr>
          <w:p/>
        </w:tc>
        <w:tc>
          <w:tcPr>
            <w:tcW w:type="dxa" w:w="2268"/>
            <w:vAlign w:val="center"/>
          </w:tcPr>
          <w:p/>
        </w:tc>
        <w:tc>
          <w:tcPr>
            <w:tcW w:type="dxa" w:w="1814"/>
            <w:vAlign w:val="center"/>
          </w:tcPr>
          <w:p/>
        </w:tc>
        <w:tc>
          <w:tcPr>
            <w:tcW w:type="dxa" w:w="2041"/>
            <w:vAlign w:val="center"/>
          </w:tcPr>
          <w:p/>
        </w:tc>
      </w:tr>
      <w:tr>
        <w:trPr>
          <w:trHeight w:val="680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2608"/>
            <w:vAlign w:val="center"/>
          </w:tcPr>
          <w:p/>
        </w:tc>
        <w:tc>
          <w:tcPr>
            <w:tcW w:type="dxa" w:w="2268"/>
            <w:vAlign w:val="center"/>
          </w:tcPr>
          <w:p/>
        </w:tc>
        <w:tc>
          <w:tcPr>
            <w:tcW w:type="dxa" w:w="1814"/>
            <w:vAlign w:val="center"/>
          </w:tcPr>
          <w:p/>
        </w:tc>
        <w:tc>
          <w:tcPr>
            <w:tcW w:type="dxa" w:w="2041"/>
            <w:vAlign w:val="center"/>
          </w:tcPr>
          <w:p/>
        </w:tc>
      </w:tr>
      <w:tr>
        <w:trPr>
          <w:trHeight w:val="680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2608"/>
            <w:vAlign w:val="center"/>
          </w:tcPr>
          <w:p/>
        </w:tc>
        <w:tc>
          <w:tcPr>
            <w:tcW w:type="dxa" w:w="2268"/>
            <w:vAlign w:val="center"/>
          </w:tcPr>
          <w:p/>
        </w:tc>
        <w:tc>
          <w:tcPr>
            <w:tcW w:type="dxa" w:w="1814"/>
            <w:vAlign w:val="center"/>
          </w:tcPr>
          <w:p/>
        </w:tc>
        <w:tc>
          <w:tcPr>
            <w:tcW w:type="dxa" w:w="2041"/>
            <w:vAlign w:val="center"/>
          </w:tcPr>
          <w:p/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3   </w:t>
            </w:r>
            <w:r>
              <w:rPr>
                <w:b/>
                <w:color w:val="FFFFFF"/>
                <w:sz w:val="26"/>
              </w:rPr>
              <w:t>Fire hazards and fire protection checklist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Identify fire hazards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A1   </w:t>
            </w:r>
            <w:r>
              <w:rPr>
                <w:b/>
                <w:color w:val="FFFFFF"/>
                <w:sz w:val="19"/>
              </w:rPr>
              <w:t>Sources of ignition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the fixed electrical installations periodically inspected and tested (EICR, normally at least every 5 years)?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smoking prohibited in the common parts, and is the prohibition observed?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e-bikes, e-scooters and other lithium battery equipment kept out of escape routes and charged safely?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A2   </w:t>
            </w:r>
            <w:r>
              <w:rPr>
                <w:b/>
                <w:color w:val="FFFFFF"/>
                <w:sz w:val="19"/>
              </w:rPr>
              <w:t>Sources of fuel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refuse stored in designated areas, clear of the building?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the common parts free of combustible accumulations (furniture, deliveries, stored belongings, pushchairs)?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A3   </w:t>
            </w:r>
            <w:r>
              <w:rPr>
                <w:b/>
                <w:color w:val="FFFFFF"/>
                <w:sz w:val="19"/>
              </w:rPr>
              <w:t>Lightning protection (where installed)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a lightning protection system installed?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Has it been inspected and tested in the last 12 months by a competent person?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Fire protection measures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D1   </w:t>
            </w:r>
            <w:r>
              <w:rPr>
                <w:b/>
                <w:color w:val="FFFFFF"/>
                <w:sz w:val="19"/>
              </w:rPr>
              <w:t>Fire detection and warning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the fire detection and warning arrangement suitable for this building and its evacuation strategy?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detector types and locations appropriate (dwellings, common parts, plant and service rooms)?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D2   </w:t>
            </w:r>
            <w:r>
              <w:rPr>
                <w:b/>
                <w:color w:val="FFFFFF"/>
                <w:sz w:val="19"/>
              </w:rPr>
              <w:t>Firefighting equipment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manual extinguishers provided where required (staffed areas, plant rooms)?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Where fitted, are dry or wet rising mains maintained and tested?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D3   </w:t>
            </w:r>
            <w:r>
              <w:rPr>
                <w:b/>
                <w:color w:val="FFFFFF"/>
                <w:sz w:val="19"/>
              </w:rPr>
              <w:t>Emergency lighting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emergency lighting provided on internal escape routes and stairways?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it in good working order?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Means of escape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E1   </w:t>
            </w:r>
            <w:r>
              <w:rPr>
                <w:b/>
                <w:color w:val="FFFFFF"/>
                <w:sz w:val="19"/>
              </w:rPr>
              <w:t>Escape routes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escape routes clear of obstructions (personal items, mobility scooters, bicycles, prams)?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final exits openable immediately, without a key, whenever the building is occupied?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E2   </w:t>
            </w:r>
            <w:r>
              <w:rPr>
                <w:b/>
                <w:color w:val="FFFFFF"/>
                <w:sz w:val="19"/>
              </w:rPr>
              <w:t>Fire doors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flat entrance doors fire-resisting and self-closing (FD30S or FD60S as required)?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intumescent strips and smoke seals present and in sound condition?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there arrangements for the periodic inspection of flat entrance doors and communal fire doors?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E3   </w:t>
            </w:r>
            <w:r>
              <w:rPr>
                <w:b/>
                <w:color w:val="FFFFFF"/>
                <w:sz w:val="19"/>
              </w:rPr>
              <w:t>Signs and notices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exit signs provided at final exits and wherever the escape route changes direction?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fire action notices displayed conspicuously in the common parts?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E4   </w:t>
            </w:r>
            <w:r>
              <w:rPr>
                <w:b/>
                <w:color w:val="FFFFFF"/>
                <w:sz w:val="19"/>
              </w:rPr>
              <w:t>Emergency evacuation plan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there a written fire emergency plan for the building?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Does the plan cover residents who cannot evacuate without assistance?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Fire spread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F1   </w:t>
            </w:r>
            <w:r>
              <w:rPr>
                <w:b/>
                <w:color w:val="FFFFFF"/>
                <w:sz w:val="19"/>
              </w:rPr>
              <w:t>Internal fire spread: linings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Do wall and ceiling finishes in the common parts resist the spread of fire?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linings in good condition, with no damage and no combustible coverings?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F2   </w:t>
            </w:r>
            <w:r>
              <w:rPr>
                <w:b/>
                <w:color w:val="FFFFFF"/>
                <w:sz w:val="19"/>
              </w:rPr>
              <w:t>Internal fire spread: structure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loadbearing elements in reasonable condition?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floors, beams and columns free from visible damage?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F3   </w:t>
            </w:r>
            <w:r>
              <w:rPr>
                <w:b/>
                <w:color w:val="FFFFFF"/>
                <w:sz w:val="19"/>
              </w:rPr>
              <w:t>External fire spread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Has the external wall construction been identified and recorded (a duty under the Fire Safety Act 2021)?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Where the walls give cause for concern, has a fire risk appraisal of external walls (FRAEW) been carried out?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F4   </w:t>
            </w:r>
            <w:r>
              <w:rPr>
                <w:b/>
                <w:color w:val="FFFFFF"/>
                <w:sz w:val="19"/>
              </w:rPr>
              <w:t>Compartmentation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compartmentation between dwellings and the common parts of a reasonable standard, so far as can be seen?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there adequate fire stopping around service penetrations (risers, meter cupboards, ceiling voids)?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Management of fire safety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G1   </w:t>
            </w:r>
            <w:r>
              <w:rPr>
                <w:b/>
                <w:color w:val="FFFFFF"/>
                <w:sz w:val="19"/>
              </w:rPr>
              <w:t>Fire safety management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there a suitable record of the fire safety arrangements for the building?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Has fire safety information been given to residents within the last 12 months?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G2   </w:t>
            </w:r>
            <w:r>
              <w:rPr>
                <w:b/>
                <w:color w:val="FFFFFF"/>
                <w:sz w:val="19"/>
              </w:rPr>
              <w:t>Maintenance and testing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Is fire detection and alarm equipment tested weekly and serviced periodically?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monthly function tests and annual full-duration tests in place for emergency lighting?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G3   </w:t>
            </w:r>
            <w:r>
              <w:rPr>
                <w:b/>
                <w:color w:val="FFFFFF"/>
                <w:sz w:val="19"/>
              </w:rPr>
              <w:t>Training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staff and managing agents trained for their role in the fire safety arrangements?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Do staff know how to implement the evacuation strategy?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0206"/>
            <w:gridSpan w:val="5"/>
            <w:vAlign w:val="center"/>
            <w:shd w:val="clear" w:fill="1E3A5F"/>
          </w:tcPr>
          <w:p>
            <w:pPr>
              <w:spacing w:before="40" w:after="40"/>
            </w:pPr>
            <w:r>
              <w:rPr>
                <w:b/>
                <w:color w:val="F2B36B"/>
                <w:sz w:val="19"/>
              </w:rPr>
              <w:t xml:space="preserve"> G4   </w:t>
            </w:r>
            <w:r>
              <w:rPr>
                <w:b/>
                <w:color w:val="FFFFFF"/>
                <w:sz w:val="19"/>
              </w:rPr>
              <w:t>Records</w:t>
            </w:r>
          </w:p>
        </w:tc>
      </w:tr>
      <w:tr>
        <w:tc>
          <w:tcPr>
            <w:tcW w:type="dxa" w:w="4649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Yes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No</w:t>
            </w:r>
          </w:p>
        </w:tc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N/A</w:t>
            </w:r>
          </w:p>
        </w:tc>
        <w:tc>
          <w:tcPr>
            <w:tcW w:type="dxa" w:w="368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7"/>
              </w:rPr>
              <w:t>Observations and location</w:t>
            </w:r>
          </w:p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records kept of fire alarm and emergency lighting tests?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  <w:tr>
        <w:trPr>
          <w:trHeight w:val="652" w:hRule="atLeast"/>
        </w:trPr>
        <w:tc>
          <w:tcPr>
            <w:tcW w:type="dxa" w:w="4649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Are maintenance records kept for all fire protection systems?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rFonts w:ascii="Segoe UI Symbol" w:hAnsi="Segoe UI Symbol"/>
                <w:b w:val="0"/>
                <w:i w:val="0"/>
                <w:color w:val="1E3A5F"/>
                <w:sz w:val="20"/>
              </w:rPr>
              <w:t>☐</w:t>
            </w:r>
          </w:p>
        </w:tc>
        <w:tc>
          <w:tcPr>
            <w:tcW w:type="dxa" w:w="3685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22"/>
        </w:rPr>
        <w:t>Any other significant fire hazards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rPr>
          <w:trHeight w:val="102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Hazards not covered above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For example dangerous substances, contractors and hot works, portable heaters, arson risk from unsecured access</w:t>
            </w:r>
          </w:p>
        </w:tc>
        <w:tc>
          <w:tcPr>
            <w:tcW w:type="dxa" w:w="6803"/>
            <w:vAlign w:val="center"/>
          </w:tcPr>
          <w:p/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4   </w:t>
            </w:r>
            <w:r>
              <w:rPr>
                <w:b/>
                <w:color w:val="FFFFFF"/>
                <w:sz w:val="26"/>
              </w:rPr>
              <w:t>Risk rating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551"/>
        <w:gridCol w:w="2551"/>
        <w:gridCol w:w="2551"/>
        <w:gridCol w:w="2551"/>
      </w:tblGrid>
      <w:tr>
        <w:tc>
          <w:tcPr>
            <w:tcW w:type="dxa" w:w="2551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Likelihood ↓ / Consequence →</w:t>
            </w:r>
          </w:p>
        </w:tc>
        <w:tc>
          <w:tcPr>
            <w:tcW w:type="dxa" w:w="2551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Slight harm</w:t>
            </w:r>
          </w:p>
        </w:tc>
        <w:tc>
          <w:tcPr>
            <w:tcW w:type="dxa" w:w="2551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Moderate harm</w:t>
            </w:r>
          </w:p>
        </w:tc>
        <w:tc>
          <w:tcPr>
            <w:tcW w:type="dxa" w:w="2551"/>
            <w:vAlign w:val="center"/>
            <w:shd w:val="clear" w:fill="1E3A5F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Extreme harm</w:t>
            </w:r>
          </w:p>
        </w:tc>
      </w:tr>
      <w:tr>
        <w:tc>
          <w:tcPr>
            <w:tcW w:type="dxa" w:w="2551"/>
            <w:vAlign w:val="center"/>
            <w:shd w:val="clear" w:fill="2D5F8A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Low</w:t>
            </w:r>
          </w:p>
        </w:tc>
        <w:tc>
          <w:tcPr>
            <w:tcW w:type="dxa" w:w="2551"/>
            <w:vAlign w:val="center"/>
            <w:shd w:val="clear" w:fill="E7F4EA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Trivial</w:t>
            </w:r>
          </w:p>
        </w:tc>
        <w:tc>
          <w:tcPr>
            <w:tcW w:type="dxa" w:w="2551"/>
            <w:vAlign w:val="center"/>
            <w:shd w:val="clear" w:fill="F0F7E6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Tolerable</w:t>
            </w:r>
          </w:p>
        </w:tc>
        <w:tc>
          <w:tcPr>
            <w:tcW w:type="dxa" w:w="2551"/>
            <w:vAlign w:val="center"/>
            <w:shd w:val="clear" w:fill="FDF3D7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Moderate</w:t>
            </w:r>
          </w:p>
        </w:tc>
      </w:tr>
      <w:tr>
        <w:tc>
          <w:tcPr>
            <w:tcW w:type="dxa" w:w="2551"/>
            <w:vAlign w:val="center"/>
            <w:shd w:val="clear" w:fill="2D5F8A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Medium</w:t>
            </w:r>
          </w:p>
        </w:tc>
        <w:tc>
          <w:tcPr>
            <w:tcW w:type="dxa" w:w="2551"/>
            <w:vAlign w:val="center"/>
            <w:shd w:val="clear" w:fill="F0F7E6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Tolerable</w:t>
            </w:r>
          </w:p>
        </w:tc>
        <w:tc>
          <w:tcPr>
            <w:tcW w:type="dxa" w:w="2551"/>
            <w:vAlign w:val="center"/>
            <w:shd w:val="clear" w:fill="FDF3D7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Moderate</w:t>
            </w:r>
          </w:p>
        </w:tc>
        <w:tc>
          <w:tcPr>
            <w:tcW w:type="dxa" w:w="2551"/>
            <w:vAlign w:val="center"/>
            <w:shd w:val="clear" w:fill="FBE4CC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Substantial</w:t>
            </w:r>
          </w:p>
        </w:tc>
      </w:tr>
      <w:tr>
        <w:tc>
          <w:tcPr>
            <w:tcW w:type="dxa" w:w="2551"/>
            <w:vAlign w:val="center"/>
            <w:shd w:val="clear" w:fill="2D5F8A"/>
          </w:tcPr>
          <w:p>
            <w:pPr>
              <w:spacing w:after="20" w:before="20"/>
              <w:jc w:val="center"/>
            </w:pPr>
            <w:r>
              <w:rPr>
                <w:b/>
                <w:i w:val="0"/>
                <w:color w:val="FFFFFF"/>
                <w:sz w:val="17"/>
              </w:rPr>
              <w:t>High</w:t>
            </w:r>
          </w:p>
        </w:tc>
        <w:tc>
          <w:tcPr>
            <w:tcW w:type="dxa" w:w="2551"/>
            <w:vAlign w:val="center"/>
            <w:shd w:val="clear" w:fill="FDF3D7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Moderate</w:t>
            </w:r>
          </w:p>
        </w:tc>
        <w:tc>
          <w:tcPr>
            <w:tcW w:type="dxa" w:w="2551"/>
            <w:vAlign w:val="center"/>
            <w:shd w:val="clear" w:fill="FBE4CC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Substantial</w:t>
            </w:r>
          </w:p>
        </w:tc>
        <w:tc>
          <w:tcPr>
            <w:tcW w:type="dxa" w:w="2551"/>
            <w:vAlign w:val="center"/>
            <w:shd w:val="clear" w:fill="F8D7D7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1A1A2E"/>
                <w:sz w:val="17"/>
              </w:rPr>
              <w:t>Intolerable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c>
          <w:tcPr>
            <w:tcW w:type="dxa" w:w="1814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7"/>
              </w:rPr>
              <w:t>Risk band</w:t>
            </w:r>
          </w:p>
        </w:tc>
        <w:tc>
          <w:tcPr>
            <w:tcW w:type="dxa" w:w="8391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7"/>
              </w:rPr>
              <w:t>What it means for action</w:t>
            </w:r>
          </w:p>
        </w:tc>
      </w:tr>
      <w:tr>
        <w:tc>
          <w:tcPr>
            <w:tcW w:type="dxa" w:w="1814"/>
            <w:vAlign w:val="center"/>
          </w:tcPr>
          <w:p>
            <w:pPr>
              <w:spacing w:after="20" w:before="20"/>
            </w:pPr>
            <w:r>
              <w:rPr>
                <w:b/>
                <w:i w:val="0"/>
                <w:color w:val="1A1A2E"/>
                <w:sz w:val="17"/>
              </w:rPr>
              <w:t>Trivial</w:t>
            </w:r>
          </w:p>
        </w:tc>
        <w:tc>
          <w:tcPr>
            <w:tcW w:type="dxa" w:w="8391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No action required and no records other than this assessment need be kept.</w:t>
            </w:r>
          </w:p>
        </w:tc>
      </w:tr>
      <w:tr>
        <w:tc>
          <w:tcPr>
            <w:tcW w:type="dxa" w:w="1814"/>
            <w:vAlign w:val="center"/>
          </w:tcPr>
          <w:p>
            <w:pPr>
              <w:spacing w:after="20" w:before="20"/>
            </w:pPr>
            <w:r>
              <w:rPr>
                <w:b/>
                <w:i w:val="0"/>
                <w:color w:val="1A1A2E"/>
                <w:sz w:val="17"/>
              </w:rPr>
              <w:t>Tolerable</w:t>
            </w:r>
          </w:p>
        </w:tc>
        <w:tc>
          <w:tcPr>
            <w:tcW w:type="dxa" w:w="8391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No major additional controls required, but keep the position under review and look for low-cost improvements.</w:t>
            </w:r>
          </w:p>
        </w:tc>
      </w:tr>
      <w:tr>
        <w:tc>
          <w:tcPr>
            <w:tcW w:type="dxa" w:w="1814"/>
            <w:vAlign w:val="center"/>
          </w:tcPr>
          <w:p>
            <w:pPr>
              <w:spacing w:after="20" w:before="20"/>
            </w:pPr>
            <w:r>
              <w:rPr>
                <w:b/>
                <w:i w:val="0"/>
                <w:color w:val="1A1A2E"/>
                <w:sz w:val="17"/>
              </w:rPr>
              <w:t>Moderate</w:t>
            </w:r>
          </w:p>
        </w:tc>
        <w:tc>
          <w:tcPr>
            <w:tcW w:type="dxa" w:w="8391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Reduce the risk. Implement the action plan within a defined period.</w:t>
            </w:r>
          </w:p>
        </w:tc>
      </w:tr>
      <w:tr>
        <w:tc>
          <w:tcPr>
            <w:tcW w:type="dxa" w:w="1814"/>
            <w:vAlign w:val="center"/>
          </w:tcPr>
          <w:p>
            <w:pPr>
              <w:spacing w:after="20" w:before="20"/>
            </w:pPr>
            <w:r>
              <w:rPr>
                <w:b/>
                <w:i w:val="0"/>
                <w:color w:val="1A1A2E"/>
                <w:sz w:val="17"/>
              </w:rPr>
              <w:t>Substantial</w:t>
            </w:r>
          </w:p>
        </w:tc>
        <w:tc>
          <w:tcPr>
            <w:tcW w:type="dxa" w:w="8391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Considerable resources may be needed. Give the action plan urgent priority; interim measures may be required in the meantime.</w:t>
            </w:r>
          </w:p>
        </w:tc>
      </w:tr>
      <w:tr>
        <w:tc>
          <w:tcPr>
            <w:tcW w:type="dxa" w:w="1814"/>
            <w:vAlign w:val="center"/>
          </w:tcPr>
          <w:p>
            <w:pPr>
              <w:spacing w:after="20" w:before="20"/>
            </w:pPr>
            <w:r>
              <w:rPr>
                <w:b/>
                <w:i w:val="0"/>
                <w:color w:val="1A1A2E"/>
                <w:sz w:val="17"/>
              </w:rPr>
              <w:t>Intolerable</w:t>
            </w:r>
          </w:p>
        </w:tc>
        <w:tc>
          <w:tcPr>
            <w:tcW w:type="dxa" w:w="8391"/>
            <w:vAlign w:val="center"/>
          </w:tcPr>
          <w:p>
            <w:pPr>
              <w:spacing w:after="20" w:before="20"/>
            </w:pPr>
            <w:r>
              <w:rPr>
                <w:b w:val="0"/>
                <w:i w:val="0"/>
                <w:color w:val="1A1A2E"/>
                <w:sz w:val="17"/>
              </w:rPr>
              <w:t>The premises, or the affected part, should not remain in use until the risk has been reduced.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Likelihood of fire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Low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Medium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High</w:t>
            </w:r>
          </w:p>
        </w:tc>
      </w:tr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Consequence of fire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Slight harm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Moderate harm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Extreme harm</w:t>
            </w:r>
          </w:p>
        </w:tc>
      </w:tr>
      <w:t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Overall risk rating</w:t>
            </w:r>
          </w:p>
        </w:tc>
        <w:tc>
          <w:tcPr>
            <w:tcW w:type="dxa" w:w="6803"/>
            <w:vAlign w:val="center"/>
          </w:tcPr>
          <w:p>
            <w:pPr>
              <w:spacing w:after="40" w:before="40"/>
            </w:pP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Trivial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Tolerable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Moderate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 xml:space="preserve">Substantial      </w:t>
            </w:r>
            <w:r>
              <w:rPr>
                <w:rFonts w:ascii="Segoe UI Symbol" w:hAnsi="Segoe UI Symbol"/>
                <w:color w:val="1E3A5F"/>
                <w:sz w:val="20"/>
              </w:rPr>
              <w:t xml:space="preserve">☐ </w:t>
            </w:r>
            <w:r>
              <w:rPr>
                <w:color w:val="1A1A2E"/>
                <w:sz w:val="18"/>
              </w:rPr>
              <w:t>Intolerable</w:t>
            </w:r>
          </w:p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5   </w:t>
            </w:r>
            <w:r>
              <w:rPr>
                <w:b/>
                <w:color w:val="FFFFFF"/>
                <w:sz w:val="26"/>
              </w:rPr>
              <w:t>Summary of significant findings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rPr>
          <w:trHeight w:val="9071" w:hRule="atLeast"/>
        </w:trPr>
        <w:tc>
          <w:tcPr>
            <w:tcW w:type="dxa" w:w="10205"/>
            <w:vAlign w:val="top"/>
          </w:tcPr>
          <w:p/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6   </w:t>
            </w:r>
            <w:r>
              <w:rPr>
                <w:b/>
                <w:color w:val="FFFFFF"/>
                <w:sz w:val="26"/>
              </w:rPr>
              <w:t>Action plan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pPr>
        <w:spacing w:after="60"/>
      </w:pPr>
      <w:r>
        <w:rPr>
          <w:b/>
          <w:i w:val="0"/>
          <w:color w:val="1E3A5F"/>
          <w:sz w:val="17"/>
        </w:rPr>
        <w:t>P1 Immediate · 24 to 48 hours      P2 High · 1 to 4 weeks      P3 Medium · 1 to 3 months      P4 Low · 3 to 6 months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276"/>
        <w:gridCol w:w="1276"/>
        <w:gridCol w:w="1276"/>
        <w:gridCol w:w="1276"/>
        <w:gridCol w:w="1276"/>
        <w:gridCol w:w="1276"/>
        <w:gridCol w:w="1276"/>
        <w:gridCol w:w="1276"/>
      </w:tblGrid>
      <w:tr>
        <w:tc>
          <w:tcPr>
            <w:tcW w:type="dxa" w:w="62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Ref</w:t>
            </w:r>
          </w:p>
        </w:tc>
        <w:tc>
          <w:tcPr>
            <w:tcW w:type="dxa" w:w="79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Section</w:t>
            </w:r>
          </w:p>
        </w:tc>
        <w:tc>
          <w:tcPr>
            <w:tcW w:type="dxa" w:w="249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Deficiency observed</w:t>
            </w:r>
          </w:p>
        </w:tc>
        <w:tc>
          <w:tcPr>
            <w:tcW w:type="dxa" w:w="249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Action required</w:t>
            </w:r>
          </w:p>
        </w:tc>
        <w:tc>
          <w:tcPr>
            <w:tcW w:type="dxa" w:w="79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Priority</w:t>
            </w:r>
          </w:p>
        </w:tc>
        <w:tc>
          <w:tcPr>
            <w:tcW w:type="dxa" w:w="147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Responsible person</w:t>
            </w:r>
          </w:p>
        </w:tc>
        <w:tc>
          <w:tcPr>
            <w:tcW w:type="dxa" w:w="79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Target date</w:t>
            </w:r>
          </w:p>
        </w:tc>
        <w:tc>
          <w:tcPr>
            <w:tcW w:type="dxa" w:w="737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Done</w:t>
            </w:r>
          </w:p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001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002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003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004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005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006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007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008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009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010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011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624"/>
            <w:vAlign w:val="center"/>
          </w:tcPr>
          <w:p>
            <w:pPr>
              <w:spacing w:after="20" w:before="20"/>
              <w:jc w:val="center"/>
            </w:pPr>
            <w:r>
              <w:rPr>
                <w:b w:val="0"/>
                <w:i w:val="0"/>
                <w:color w:val="64748B"/>
                <w:sz w:val="16"/>
              </w:rPr>
              <w:t>012</w:t>
            </w:r>
          </w:p>
        </w:tc>
        <w:tc>
          <w:tcPr>
            <w:tcW w:type="dxa" w:w="7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249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1474"/>
            <w:vAlign w:val="center"/>
          </w:tcPr>
          <w:p/>
        </w:tc>
        <w:tc>
          <w:tcPr>
            <w:tcW w:type="dxa" w:w="794"/>
            <w:vAlign w:val="center"/>
          </w:tcPr>
          <w:p/>
        </w:tc>
        <w:tc>
          <w:tcPr>
            <w:tcW w:type="dxa" w:w="737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9"/>
              </w:rPr>
              <w:t>Interim measures in place until the actions above are complete:</w:t>
            </w:r>
          </w:p>
          <w:p>
            <w:pPr>
              <w:spacing w:after="40"/>
            </w:pPr>
            <w:r>
              <w:rPr>
                <w:color w:val="1A1A2E"/>
                <w:sz w:val="17"/>
              </w:rPr>
            </w:r>
          </w:p>
          <w:p>
            <w:pPr>
              <w:spacing w:after="40"/>
            </w:pPr>
            <w:r>
              <w:rPr>
                <w:color w:val="1A1A2E"/>
                <w:sz w:val="17"/>
              </w:rPr>
            </w:r>
          </w:p>
          <w:p>
            <w:pPr>
              <w:spacing w:after="40"/>
            </w:pPr>
            <w:r>
              <w:rPr>
                <w:color w:val="1A1A2E"/>
                <w:sz w:val="17"/>
              </w:rPr>
            </w:r>
          </w:p>
          <w:p>
            <w:pPr>
              <w:spacing w:after="40"/>
            </w:pPr>
            <w:r>
              <w:rPr>
                <w:color w:val="1A1A2E"/>
                <w:sz w:val="17"/>
              </w:rPr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7   </w:t>
            </w:r>
            <w:r>
              <w:rPr>
                <w:b/>
                <w:color w:val="FFFFFF"/>
                <w:sz w:val="26"/>
              </w:rPr>
              <w:t>Review record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c>
          <w:tcPr>
            <w:tcW w:type="dxa" w:w="147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Date of review</w:t>
            </w:r>
          </w:p>
        </w:tc>
        <w:tc>
          <w:tcPr>
            <w:tcW w:type="dxa" w:w="1701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Reviewed by</w:t>
            </w:r>
          </w:p>
        </w:tc>
        <w:tc>
          <w:tcPr>
            <w:tcW w:type="dxa" w:w="2041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Reason (routine / change / fire or near miss)</w:t>
            </w:r>
          </w:p>
        </w:tc>
        <w:tc>
          <w:tcPr>
            <w:tcW w:type="dxa" w:w="351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Summary of changes made</w:t>
            </w:r>
          </w:p>
        </w:tc>
        <w:tc>
          <w:tcPr>
            <w:tcW w:type="dxa" w:w="147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Next review due</w:t>
            </w:r>
          </w:p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1701"/>
            <w:vAlign w:val="center"/>
          </w:tcPr>
          <w:p/>
        </w:tc>
        <w:tc>
          <w:tcPr>
            <w:tcW w:type="dxa" w:w="2041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474"/>
            <w:vAlign w:val="center"/>
          </w:tcPr>
          <w:p/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8   </w:t>
            </w:r>
            <w:r>
              <w:rPr>
                <w:b/>
                <w:color w:val="FFFFFF"/>
                <w:sz w:val="26"/>
              </w:rPr>
              <w:t>Trail of Records: omissions and limitations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2551"/>
        <w:gridCol w:w="2551"/>
        <w:gridCol w:w="2551"/>
        <w:gridCol w:w="2551"/>
      </w:tblGrid>
      <w:tr>
        <w:tc>
          <w:tcPr>
            <w:tcW w:type="dxa" w:w="1474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Section / item</w:t>
            </w:r>
          </w:p>
        </w:tc>
        <w:tc>
          <w:tcPr>
            <w:tcW w:type="dxa" w:w="351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What was not checked or was excluded</w:t>
            </w:r>
          </w:p>
        </w:tc>
        <w:tc>
          <w:tcPr>
            <w:tcW w:type="dxa" w:w="3515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Reason</w:t>
            </w:r>
          </w:p>
        </w:tc>
        <w:tc>
          <w:tcPr>
            <w:tcW w:type="dxa" w:w="1701"/>
            <w:vAlign w:val="center"/>
            <w:shd w:val="clear" w:fill="1E3A5F"/>
          </w:tcPr>
          <w:p>
            <w:pPr>
              <w:spacing w:after="20" w:before="20"/>
            </w:pPr>
            <w:r>
              <w:rPr>
                <w:b/>
                <w:i w:val="0"/>
                <w:color w:val="FFFFFF"/>
                <w:sz w:val="16"/>
              </w:rPr>
              <w:t>Date</w:t>
            </w:r>
          </w:p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  <w:tr>
        <w:trPr>
          <w:trHeight w:val="624" w:hRule="atLeast"/>
        </w:trPr>
        <w:tc>
          <w:tcPr>
            <w:tcW w:type="dxa" w:w="1474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3515"/>
            <w:vAlign w:val="center"/>
          </w:tcPr>
          <w:p/>
        </w:tc>
        <w:tc>
          <w:tcPr>
            <w:tcW w:type="dxa" w:w="1701"/>
            <w:vAlign w:val="center"/>
          </w:tcPr>
          <w:p/>
        </w:tc>
      </w:tr>
    </w:tbl>
    <w:p>
      <w:r>
        <w:br w:type="page"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10206"/>
      </w:tblGrid>
      <w:tr>
        <w:tc>
          <w:tcPr>
            <w:tcW w:type="dxa" w:w="10205"/>
            <w:vAlign w:val="center"/>
            <w:shd w:val="clear" w:fill="1E3A5F"/>
          </w:tcPr>
          <w:p>
            <w:pPr>
              <w:spacing w:before="80" w:after="80"/>
            </w:pPr>
            <w:r>
              <w:rPr>
                <w:b/>
                <w:color w:val="F2B36B"/>
                <w:sz w:val="26"/>
              </w:rPr>
              <w:t xml:space="preserve">  9   </w:t>
            </w:r>
            <w:r>
              <w:rPr>
                <w:b/>
                <w:color w:val="FFFFFF"/>
                <w:sz w:val="26"/>
              </w:rPr>
              <w:t>Declaration</w:t>
            </w:r>
          </w:p>
        </w:tc>
      </w:tr>
    </w:tbl>
    <w:p>
      <w:pPr>
        <w:spacing w:after="40"/>
      </w:pPr>
      <w:r>
        <w:rPr>
          <w:b w:val="0"/>
          <w:i w:val="0"/>
          <w:color w:val="1A1A2E"/>
          <w:sz w:val="8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EE7"/>
          <w:left w:val="single" w:sz="4" w:color="D9DEE7"/>
          <w:bottom w:val="single" w:sz="4" w:color="D9DEE7"/>
          <w:right w:val="single" w:sz="4" w:color="D9DEE7"/>
          <w:insideH w:val="single" w:sz="4" w:color="D9DEE7"/>
          <w:insideV w:val="single" w:sz="4" w:color="D9DEE7"/>
        </w:tblBorders>
        <w:tblLayout w:type="fixed"/>
      </w:tblPr>
      <w:tblGrid>
        <w:gridCol w:w="5103"/>
        <w:gridCol w:w="5103"/>
      </w:tblGrid>
      <w:tr>
        <w:trPr>
          <w:trHeight w:val="68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Assessor signature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51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Assessor name and date</w:t>
            </w:r>
          </w:p>
        </w:tc>
        <w:tc>
          <w:tcPr>
            <w:tcW w:type="dxa" w:w="6803"/>
            <w:vAlign w:val="center"/>
          </w:tcPr>
          <w:p/>
        </w:tc>
      </w:tr>
      <w:tr>
        <w:trPr>
          <w:trHeight w:val="680" w:hRule="atLeast"/>
        </w:trPr>
        <w:tc>
          <w:tcPr>
            <w:tcW w:type="dxa" w:w="3402"/>
            <w:vAlign w:val="center"/>
            <w:shd w:val="clear" w:fill="F8F7F4"/>
          </w:tcPr>
          <w:p>
            <w:pPr>
              <w:spacing w:after="20" w:before="20"/>
            </w:pPr>
            <w:r>
              <w:rPr>
                <w:b/>
                <w:i w:val="0"/>
                <w:color w:val="1E3A5F"/>
                <w:sz w:val="18"/>
              </w:rPr>
              <w:t>Seen and accepted by the responsible person</w:t>
            </w:r>
          </w:p>
          <w:p>
            <w:pPr>
              <w:spacing w:after="20"/>
            </w:pPr>
            <w:r>
              <w:rPr>
                <w:color w:val="64748B"/>
                <w:sz w:val="15"/>
              </w:rPr>
              <w:t>Signature and date</w:t>
            </w:r>
          </w:p>
        </w:tc>
        <w:tc>
          <w:tcPr>
            <w:tcW w:type="dxa" w:w="6803"/>
            <w:vAlign w:val="center"/>
          </w:tcPr>
          <w:p/>
        </w:tc>
      </w:tr>
    </w:tbl>
    <w:p>
      <w:pPr>
        <w:spacing w:after="80"/>
      </w:pPr>
      <w:r>
        <w:rPr>
          <w:b w:val="0"/>
          <w:i w:val="0"/>
          <w:color w:val="1A1A2E"/>
          <w:sz w:val="12"/>
        </w:rPr>
      </w:r>
    </w:p>
    <w:p>
      <w:pPr>
        <w:spacing w:after="80"/>
      </w:pPr>
      <w:r>
        <w:rPr>
          <w:b w:val="0"/>
          <w:i w:val="0"/>
          <w:color w:val="64748B"/>
          <w:sz w:val="15"/>
        </w:rPr>
        <w:t>© FireRecord 2026. Version 1.0, August 2026. Free to use and share for fire safety purposes; please credit firerecord.co.uk when republishing. Informed by UK government fire safety guidance (contains public sector information licensed under the Open Government Licence v3.0). This template is a recording tool, not advice for a specific building; responsibility for a suitable and sufficient fire risk assessment rests with the responsible person under the Regulatory Reform (Fire Safety) Order 2005.</w:t>
      </w:r>
    </w:p>
    <w:sectPr w:rsidR="00FC693F" w:rsidRPr="0006063C" w:rsidSect="00034616">
      <w:footerReference w:type="default" r:id="rId9"/>
      <w:pgSz w:w="11906" w:h="16838"/>
      <w:pgMar w:top="850" w:right="850" w:bottom="90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94A3B8"/>
        <w:sz w:val="15"/>
      </w:rPr>
      <w:t xml:space="preserve">FireRecord Residential Fire Risk Assessment Template  ·  firerecord.co.uk  ·  Page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Calibri" w:hAnsi="Calibri"/>
      <w:color w:val="1A1A2E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